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jc w:val="center"/>
      </w:pPr>
      <w:r>
        <w:rPr>
          <w:rFonts w:ascii="Calibri" w:cs="Calibri" w:eastAsia="Calibri" w:hAnsi="Calibri"/>
          <w:b/>
          <w:bCs/>
          <w:color w:val="21292C"/>
          <w:sz w:val="40"/>
          <w:szCs w:val="40"/>
        </w:rPr>
        <w:t xml:space="preserve">CONVENTION D’APPORT D’AFFAIRES</w:t>
      </w:r>
    </w:p>
    <w:p>
      <w:pPr>
        <w:spacing w:after="320"/>
        <w:jc w:val="center"/>
      </w:pPr>
      <w:r>
        <w:rPr>
          <w:rFonts w:ascii="Calibri" w:cs="Calibri" w:eastAsia="Calibri" w:hAnsi="Calibri"/>
          <w:b/>
          <w:bCs/>
          <w:color w:val="595DF2"/>
          <w:sz w:val="22"/>
          <w:szCs w:val="22"/>
        </w:rPr>
        <w:t xml:space="preserve">Programme partenaires ResaPermis</w:t>
      </w:r>
    </w:p>
    <w:p>
      <w:pPr>
        <w:spacing w:after="140" w:line="276"/>
        <w:jc w:val="both"/>
      </w:pPr>
      <w:r>
        <w:rPr>
          <w:rFonts w:ascii="Calibri" w:cs="Calibri" w:eastAsia="Calibri" w:hAnsi="Calibri"/>
          <w:b/>
          <w:bCs/>
          <w:color w:val="21292C"/>
          <w:sz w:val="21"/>
          <w:szCs w:val="21"/>
        </w:rPr>
        <w:t xml:space="preserve">ENTRE LES SOUSSIGNÉES :</w:t>
      </w:r>
    </w:p>
    <w:p>
      <w:pPr>
        <w:spacing w:after="140" w:line="276"/>
        <w:jc w:val="both"/>
      </w:pPr>
      <w:r>
        <w:rPr>
          <w:rFonts w:ascii="Calibri" w:cs="Calibri" w:eastAsia="Calibri" w:hAnsi="Calibri"/>
          <w:color w:val="21292C"/>
          <w:sz w:val="21"/>
          <w:szCs w:val="21"/>
        </w:rPr>
        <w:t xml:space="preserve">[Dénomination sociale de l’éditeur], société [forme sociale] au capital de [montant] euros, immatriculée au registre du commerce et des sociétés de [ville] sous le numéro [SIREN], dont le siège social est situé [adresse], représentée par [nom, qualité], dûment habilité(e) aux fins des présentes, exploitant le service « ResaPermis » (ci-après « ResaPermis »),</w:t>
      </w:r>
    </w:p>
    <w:p>
      <w:pPr>
        <w:spacing w:after="140" w:line="276"/>
        <w:jc w:val="both"/>
      </w:pPr>
      <w:r>
        <w:rPr>
          <w:rFonts w:ascii="Calibri" w:cs="Calibri" w:eastAsia="Calibri" w:hAnsi="Calibri"/>
          <w:b/>
          <w:bCs/>
          <w:color w:val="21292C"/>
          <w:sz w:val="21"/>
          <w:szCs w:val="21"/>
        </w:rPr>
        <w:t xml:space="preserve">d’une part, ET :</w:t>
      </w:r>
    </w:p>
    <w:p>
      <w:pPr>
        <w:spacing w:after="140" w:line="276"/>
        <w:jc w:val="both"/>
      </w:pPr>
      <w:r>
        <w:rPr>
          <w:rFonts w:ascii="Calibri" w:cs="Calibri" w:eastAsia="Calibri" w:hAnsi="Calibri"/>
          <w:color w:val="21292C"/>
          <w:sz w:val="21"/>
          <w:szCs w:val="21"/>
        </w:rPr>
        <w:t xml:space="preserve">[Dénomination sociale ou nom de l’apporteur], [société / entrepreneur individuel] [forme le cas échéant], immatriculé(e) sous le numéro [SIREN / SIRET], dont le siège ou l’adresse professionnelle est situé(e) [adresse], représenté(e) par [nom, qualité] (ci-après « l’Apporteur »),</w:t>
      </w:r>
    </w:p>
    <w:p>
      <w:pPr>
        <w:spacing w:after="140" w:line="276"/>
        <w:jc w:val="both"/>
      </w:pPr>
      <w:r>
        <w:rPr>
          <w:rFonts w:ascii="Calibri" w:cs="Calibri" w:eastAsia="Calibri" w:hAnsi="Calibri"/>
          <w:b/>
          <w:bCs/>
          <w:color w:val="21292C"/>
          <w:sz w:val="21"/>
          <w:szCs w:val="21"/>
        </w:rPr>
        <w:t xml:space="preserve">d’autre part. Ci-après désignées ensemble les « Parties ».</w:t>
      </w:r>
    </w:p>
    <w:p>
      <w:pPr>
        <w:pStyle w:val="Heading2"/>
        <w:spacing w:after="120" w:before="260"/>
      </w:pPr>
      <w:r>
        <w:rPr>
          <w:rFonts w:ascii="Calibri" w:cs="Calibri" w:eastAsia="Calibri" w:hAnsi="Calibri"/>
          <w:b/>
          <w:bCs/>
          <w:color w:val="21292C"/>
          <w:sz w:val="24"/>
          <w:szCs w:val="24"/>
        </w:rPr>
        <w:t xml:space="preserve">Article 1 — Objet</w:t>
      </w:r>
    </w:p>
    <w:p>
      <w:pPr>
        <w:spacing w:after="140" w:line="276"/>
        <w:jc w:val="both"/>
      </w:pPr>
      <w:r>
        <w:rPr>
          <w:rFonts w:ascii="Calibri" w:cs="Calibri" w:eastAsia="Calibri" w:hAnsi="Calibri"/>
          <w:color w:val="21292C"/>
          <w:sz w:val="21"/>
          <w:szCs w:val="21"/>
        </w:rPr>
        <w:t xml:space="preserve">La présente convention a pour objet de définir les conditions dans lesquelles l’Apporteur présente à ResaPermis des prospects — établissements d’enseignement de la conduite (« Prospects ») — susceptibles de souscrire au service ResaPermis, et la rémunération qui lui est due lorsqu’une présentation aboutit à une souscription payante.</w:t>
      </w:r>
    </w:p>
    <w:p>
      <w:pPr>
        <w:spacing w:after="140" w:line="276"/>
        <w:jc w:val="both"/>
      </w:pPr>
      <w:r>
        <w:rPr>
          <w:rFonts w:ascii="Calibri" w:cs="Calibri" w:eastAsia="Calibri" w:hAnsi="Calibri"/>
          <w:color w:val="21292C"/>
          <w:sz w:val="21"/>
          <w:szCs w:val="21"/>
        </w:rPr>
        <w:t xml:space="preserve">L’Apporteur agit en qualité d’intermédiaire indépendant. Il ne dispose d’aucun mandat de représentation : il ne négocie pas les conditions du service, ne conclut aucun contrat au nom ou pour le compte de ResaPermis, n’encaisse aucune somme des Prospects et ne fournit aucune prestation du service. Les Parties conviennent expressément que la présente convention ne relève pas du statut d’agent commercial (articles L. 134-1 et suivants du code de commerce).</w:t>
      </w:r>
    </w:p>
    <w:p>
      <w:pPr>
        <w:pStyle w:val="Heading2"/>
        <w:spacing w:after="120" w:before="260"/>
      </w:pPr>
      <w:r>
        <w:rPr>
          <w:rFonts w:ascii="Calibri" w:cs="Calibri" w:eastAsia="Calibri" w:hAnsi="Calibri"/>
          <w:b/>
          <w:bCs/>
          <w:color w:val="21292C"/>
          <w:sz w:val="24"/>
          <w:szCs w:val="24"/>
        </w:rPr>
        <w:t xml:space="preserve">Article 2 — Affaires apportées et attribution</w:t>
      </w:r>
    </w:p>
    <w:p>
      <w:pPr>
        <w:spacing w:after="140" w:line="276"/>
        <w:jc w:val="both"/>
      </w:pPr>
      <w:r>
        <w:rPr>
          <w:rFonts w:ascii="Calibri" w:cs="Calibri" w:eastAsia="Calibri" w:hAnsi="Calibri"/>
          <w:color w:val="21292C"/>
          <w:sz w:val="21"/>
          <w:szCs w:val="21"/>
        </w:rPr>
        <w:t xml:space="preserve">Est réputée « Affaire apportée » toute souscription payante au service ResaPermis par un Prospect dont le compte a été attribué à l’Apporteur selon l’un des modes suivants :</w:t>
      </w:r>
    </w:p>
    <w:p>
      <w:pPr>
        <w:pStyle w:val="ListParagraph"/>
        <w:numPr>
          <w:ilvl w:val="0"/>
          <w:numId w:val="2"/>
        </w:numPr>
        <w:spacing w:after="80" w:line="276"/>
        <w:jc w:val="both"/>
      </w:pPr>
      <w:r>
        <w:rPr>
          <w:rFonts w:ascii="Calibri" w:cs="Calibri" w:eastAsia="Calibri" w:hAnsi="Calibri"/>
          <w:color w:val="21292C"/>
          <w:sz w:val="21"/>
          <w:szCs w:val="21"/>
        </w:rPr>
        <w:t xml:space="preserve">inscription réalisée via le lien de suivi de l’Apporteur (resapermis.com/?ref=CODE) ou avec saisie de son code partenaire dans le tunnel d’inscription ;</w:t>
      </w:r>
    </w:p>
    <w:p>
      <w:pPr>
        <w:pStyle w:val="ListParagraph"/>
        <w:numPr>
          <w:ilvl w:val="0"/>
          <w:numId w:val="2"/>
        </w:numPr>
        <w:spacing w:after="80" w:line="276"/>
        <w:jc w:val="both"/>
      </w:pPr>
      <w:r>
        <w:rPr>
          <w:rFonts w:ascii="Calibri" w:cs="Calibri" w:eastAsia="Calibri" w:hAnsi="Calibri"/>
          <w:color w:val="21292C"/>
          <w:sz w:val="21"/>
          <w:szCs w:val="21"/>
        </w:rPr>
        <w:t xml:space="preserve">présentation nominative écrite (courriel à hello@resapermis.com) confirmée par ResaPermis avant la souscription, puis rattachée manuellement au compte de l’Apporteur.</w:t>
      </w:r>
    </w:p>
    <w:p>
      <w:pPr>
        <w:spacing w:after="140" w:line="276"/>
        <w:jc w:val="both"/>
      </w:pPr>
      <w:r>
        <w:rPr>
          <w:rFonts w:ascii="Calibri" w:cs="Calibri" w:eastAsia="Calibri" w:hAnsi="Calibri"/>
          <w:color w:val="21292C"/>
          <w:sz w:val="21"/>
          <w:szCs w:val="21"/>
        </w:rPr>
        <w:t xml:space="preserve">La première attribution d’un établissement est définitive : un établissement déjà attribué à un autre apporteur, déjà client, déjà en relation commerciale documentée avec ResaPermis, ou dont l’essai est déjà engagé au jour de la présentation, ne peut constituer une Affaire apportée. L’espace partenaire en ligne fait foi de l’attribution et du suivi des Affaires apportées.</w:t>
      </w:r>
    </w:p>
    <w:p>
      <w:pPr>
        <w:pStyle w:val="Heading2"/>
        <w:spacing w:after="120" w:before="260"/>
      </w:pPr>
      <w:r>
        <w:rPr>
          <w:rFonts w:ascii="Calibri" w:cs="Calibri" w:eastAsia="Calibri" w:hAnsi="Calibri"/>
          <w:b/>
          <w:bCs/>
          <w:color w:val="21292C"/>
          <w:sz w:val="24"/>
          <w:szCs w:val="24"/>
        </w:rPr>
        <w:t xml:space="preserve">Article 3 — Commission</w:t>
      </w:r>
    </w:p>
    <w:p>
      <w:pPr>
        <w:spacing w:after="140" w:line="276"/>
        <w:jc w:val="both"/>
      </w:pPr>
      <w:r>
        <w:rPr>
          <w:rFonts w:ascii="Calibri" w:cs="Calibri" w:eastAsia="Calibri" w:hAnsi="Calibri"/>
          <w:color w:val="21292C"/>
          <w:sz w:val="21"/>
          <w:szCs w:val="21"/>
        </w:rPr>
        <w:t xml:space="preserve">En rémunération de chaque Affaire apportée, ResaPermis verse à l’Apporteur une commission égale à [20] % hors taxes des mensualités d’abonnement effectivement encaissées auprès de l’établissement concerné, pendant les [douze (12)] premières mensualités facturées et payées, sauf conditions particulières convenues en annexe (paliers de volume, durée ou taux spécifiques).</w:t>
      </w:r>
    </w:p>
    <w:p>
      <w:pPr>
        <w:spacing w:after="140" w:line="276"/>
        <w:jc w:val="both"/>
      </w:pPr>
      <w:r>
        <w:rPr>
          <w:rFonts w:ascii="Calibri" w:cs="Calibri" w:eastAsia="Calibri" w:hAnsi="Calibri"/>
          <w:color w:val="21292C"/>
          <w:sz w:val="21"/>
          <w:szCs w:val="21"/>
        </w:rPr>
        <w:t xml:space="preserve">Sont exclues de l’assiette : les sommes remboursées ou impayées, les taxes, les frais, ainsi que toute période offerte ou remisée. En cas de remboursement postérieur au calcul, la commission correspondante est annulée ou déduite du versement suivant. Aucune commission n’est due sur les renouvellements postérieurs à la période commissionnée, ni sur des services tiers.</w:t>
      </w:r>
    </w:p>
    <w:p>
      <w:pPr>
        <w:pStyle w:val="Heading2"/>
        <w:spacing w:after="120" w:before="260"/>
      </w:pPr>
      <w:r>
        <w:rPr>
          <w:rFonts w:ascii="Calibri" w:cs="Calibri" w:eastAsia="Calibri" w:hAnsi="Calibri"/>
          <w:b/>
          <w:bCs/>
          <w:color w:val="21292C"/>
          <w:sz w:val="24"/>
          <w:szCs w:val="24"/>
        </w:rPr>
        <w:t xml:space="preserve">Article 4 — Relevés, facturation et paiement</w:t>
      </w:r>
    </w:p>
    <w:p>
      <w:pPr>
        <w:spacing w:after="140" w:line="276"/>
        <w:jc w:val="both"/>
      </w:pPr>
      <w:r>
        <w:rPr>
          <w:rFonts w:ascii="Calibri" w:cs="Calibri" w:eastAsia="Calibri" w:hAnsi="Calibri"/>
          <w:color w:val="21292C"/>
          <w:sz w:val="21"/>
          <w:szCs w:val="21"/>
        </w:rPr>
        <w:t xml:space="preserve">ResaPermis met à disposition de l’Apporteur un espace en ligne récapitulant les Affaires apportées, les commissions calculées et leur statut. Les commissions sont validées par ResaPermis, puis versées par virement, sur présentation d’une facture conforme de l’Apporteur, dès que le solde validé atteint cinquante (50) euros, à trente (30) jours fin de mois. Si l’Apporteur est assujetti à la TVA, celle-ci s’ajoute au montant hors taxes ; à défaut, la facture porte la mention d’exonération applicable.</w:t>
      </w:r>
    </w:p>
    <w:p>
      <w:pPr>
        <w:pStyle w:val="Heading2"/>
        <w:spacing w:after="120" w:before="260"/>
      </w:pPr>
      <w:r>
        <w:rPr>
          <w:rFonts w:ascii="Calibri" w:cs="Calibri" w:eastAsia="Calibri" w:hAnsi="Calibri"/>
          <w:b/>
          <w:bCs/>
          <w:color w:val="21292C"/>
          <w:sz w:val="24"/>
          <w:szCs w:val="24"/>
        </w:rPr>
        <w:t xml:space="preserve">Article 5 — Obligations de l’Apporteur</w:t>
      </w:r>
    </w:p>
    <w:p>
      <w:pPr>
        <w:pStyle w:val="ListParagraph"/>
        <w:numPr>
          <w:ilvl w:val="0"/>
          <w:numId w:val="2"/>
        </w:numPr>
        <w:spacing w:after="80" w:line="276"/>
        <w:jc w:val="both"/>
      </w:pPr>
      <w:r>
        <w:rPr>
          <w:rFonts w:ascii="Calibri" w:cs="Calibri" w:eastAsia="Calibri" w:hAnsi="Calibri"/>
          <w:color w:val="21292C"/>
          <w:sz w:val="21"/>
          <w:szCs w:val="21"/>
        </w:rPr>
        <w:t xml:space="preserve">annoncer sa qualité de partenaire rémunéré dans toute recommandation (transparence d’affiliation) ;</w:t>
      </w:r>
    </w:p>
    <w:p>
      <w:pPr>
        <w:pStyle w:val="ListParagraph"/>
        <w:numPr>
          <w:ilvl w:val="0"/>
          <w:numId w:val="2"/>
        </w:numPr>
        <w:spacing w:after="80" w:line="276"/>
        <w:jc w:val="both"/>
      </w:pPr>
      <w:r>
        <w:rPr>
          <w:rFonts w:ascii="Calibri" w:cs="Calibri" w:eastAsia="Calibri" w:hAnsi="Calibri"/>
          <w:color w:val="21292C"/>
          <w:sz w:val="21"/>
          <w:szCs w:val="21"/>
        </w:rPr>
        <w:t xml:space="preserve">ne formuler aucune promesse de volume, de délai ou de « garantie de places » : le service ne procure jamais à un établissement plus que son droit ;</w:t>
      </w:r>
    </w:p>
    <w:p>
      <w:pPr>
        <w:pStyle w:val="ListParagraph"/>
        <w:numPr>
          <w:ilvl w:val="0"/>
          <w:numId w:val="2"/>
        </w:numPr>
        <w:spacing w:after="80" w:line="276"/>
        <w:jc w:val="both"/>
      </w:pPr>
      <w:r>
        <w:rPr>
          <w:rFonts w:ascii="Calibri" w:cs="Calibri" w:eastAsia="Calibri" w:hAnsi="Calibri"/>
          <w:color w:val="21292C"/>
          <w:sz w:val="21"/>
          <w:szCs w:val="21"/>
        </w:rPr>
        <w:t xml:space="preserve">ne pas dénigrer les services concurrents ;</w:t>
      </w:r>
    </w:p>
    <w:p>
      <w:pPr>
        <w:pStyle w:val="ListParagraph"/>
        <w:numPr>
          <w:ilvl w:val="0"/>
          <w:numId w:val="2"/>
        </w:numPr>
        <w:spacing w:after="80" w:line="276"/>
        <w:jc w:val="both"/>
      </w:pPr>
      <w:r>
        <w:rPr>
          <w:rFonts w:ascii="Calibri" w:cs="Calibri" w:eastAsia="Calibri" w:hAnsi="Calibri"/>
          <w:color w:val="21292C"/>
          <w:sz w:val="21"/>
          <w:szCs w:val="21"/>
        </w:rPr>
        <w:t xml:space="preserve">utiliser exclusivement les éléments de marque et visuels fournis dans le kit partenaire, sans altération, et ne pas enchérir sur la marque « ResaPermis » en publicité en ligne ;</w:t>
      </w:r>
    </w:p>
    <w:p>
      <w:pPr>
        <w:pStyle w:val="ListParagraph"/>
        <w:numPr>
          <w:ilvl w:val="0"/>
          <w:numId w:val="2"/>
        </w:numPr>
        <w:spacing w:after="80" w:line="276"/>
        <w:jc w:val="both"/>
      </w:pPr>
      <w:r>
        <w:rPr>
          <w:rFonts w:ascii="Calibri" w:cs="Calibri" w:eastAsia="Calibri" w:hAnsi="Calibri"/>
          <w:color w:val="21292C"/>
          <w:sz w:val="21"/>
          <w:szCs w:val="21"/>
        </w:rPr>
        <w:t xml:space="preserve">respecter la réglementation applicable à la prospection commerciale et à la protection des données personnelles ;</w:t>
      </w:r>
    </w:p>
    <w:p>
      <w:pPr>
        <w:pStyle w:val="ListParagraph"/>
        <w:numPr>
          <w:ilvl w:val="0"/>
          <w:numId w:val="2"/>
        </w:numPr>
        <w:spacing w:after="80" w:line="276"/>
        <w:jc w:val="both"/>
      </w:pPr>
      <w:r>
        <w:rPr>
          <w:rFonts w:ascii="Calibri" w:cs="Calibri" w:eastAsia="Calibri" w:hAnsi="Calibri"/>
          <w:color w:val="21292C"/>
          <w:sz w:val="21"/>
          <w:szCs w:val="21"/>
        </w:rPr>
        <w:t xml:space="preserve">s’abstenir de toute pratique de trafic artificiel, d’auto-parrainage ou de fraude à l’attribution.</w:t>
      </w:r>
    </w:p>
    <w:p>
      <w:pPr>
        <w:spacing w:after="140" w:line="276"/>
        <w:jc w:val="both"/>
      </w:pPr>
      <w:r>
        <w:rPr>
          <w:rFonts w:ascii="Calibri" w:cs="Calibri" w:eastAsia="Calibri" w:hAnsi="Calibri"/>
          <w:color w:val="21292C"/>
          <w:sz w:val="21"/>
          <w:szCs w:val="21"/>
        </w:rPr>
        <w:t xml:space="preserve">Tout manquement grave ou répété autorise ResaPermis à suspendre le profil partenaire, puis à résilier la convention dans les conditions de l’article 7. Les commissions régulièrement acquises avant la résiliation restent dues.</w:t>
      </w:r>
    </w:p>
    <w:p>
      <w:pPr>
        <w:pStyle w:val="Heading2"/>
        <w:spacing w:after="120" w:before="260"/>
      </w:pPr>
      <w:r>
        <w:rPr>
          <w:rFonts w:ascii="Calibri" w:cs="Calibri" w:eastAsia="Calibri" w:hAnsi="Calibri"/>
          <w:b/>
          <w:bCs/>
          <w:color w:val="21292C"/>
          <w:sz w:val="24"/>
          <w:szCs w:val="24"/>
        </w:rPr>
        <w:t xml:space="preserve">Article 6 — Indépendance et non-exclusivité</w:t>
      </w:r>
    </w:p>
    <w:p>
      <w:pPr>
        <w:spacing w:after="140" w:line="276"/>
        <w:jc w:val="both"/>
      </w:pPr>
      <w:r>
        <w:rPr>
          <w:rFonts w:ascii="Calibri" w:cs="Calibri" w:eastAsia="Calibri" w:hAnsi="Calibri"/>
          <w:color w:val="21292C"/>
          <w:sz w:val="21"/>
          <w:szCs w:val="21"/>
        </w:rPr>
        <w:t xml:space="preserve">Chaque Partie demeure indépendante. La présente convention ne crée ni exclusivité, ni obligation de volume, ni lien de subordination, ni société ou mandat entre les Parties. ResaPermis reste libre de sa politique commerciale et tarifaire, l’Apporteur libre de ses autres activités, sous réserve de l’article 5.</w:t>
      </w:r>
    </w:p>
    <w:p>
      <w:pPr>
        <w:pStyle w:val="Heading2"/>
        <w:spacing w:after="120" w:before="260"/>
      </w:pPr>
      <w:r>
        <w:rPr>
          <w:rFonts w:ascii="Calibri" w:cs="Calibri" w:eastAsia="Calibri" w:hAnsi="Calibri"/>
          <w:b/>
          <w:bCs/>
          <w:color w:val="21292C"/>
          <w:sz w:val="24"/>
          <w:szCs w:val="24"/>
        </w:rPr>
        <w:t xml:space="preserve">Article 7 — Durée et résiliation</w:t>
      </w:r>
    </w:p>
    <w:p>
      <w:pPr>
        <w:spacing w:after="140" w:line="276"/>
        <w:jc w:val="both"/>
      </w:pPr>
      <w:r>
        <w:rPr>
          <w:rFonts w:ascii="Calibri" w:cs="Calibri" w:eastAsia="Calibri" w:hAnsi="Calibri"/>
          <w:color w:val="21292C"/>
          <w:sz w:val="21"/>
          <w:szCs w:val="21"/>
        </w:rPr>
        <w:t xml:space="preserve">La convention est conclue pour une durée indéterminée à compter de sa signature. Chaque Partie peut y mettre fin à tout moment, par écrit, moyennant un préavis de trente (30) jours. La résiliation met fin à l’attribution de nouvelles Affaires ; les commissions afférentes aux mensualités encaissées pendant la période commissionnée d’Affaires déjà apportées restent dues, sauf résiliation pour manquement de l’Apporteur à l’article 5.</w:t>
      </w:r>
    </w:p>
    <w:p>
      <w:pPr>
        <w:pStyle w:val="Heading2"/>
        <w:spacing w:after="120" w:before="260"/>
      </w:pPr>
      <w:r>
        <w:rPr>
          <w:rFonts w:ascii="Calibri" w:cs="Calibri" w:eastAsia="Calibri" w:hAnsi="Calibri"/>
          <w:b/>
          <w:bCs/>
          <w:color w:val="21292C"/>
          <w:sz w:val="24"/>
          <w:szCs w:val="24"/>
        </w:rPr>
        <w:t xml:space="preserve">Article 8 — Confidentialité et données personnelles</w:t>
      </w:r>
    </w:p>
    <w:p>
      <w:pPr>
        <w:spacing w:after="140" w:line="276"/>
        <w:jc w:val="both"/>
      </w:pPr>
      <w:r>
        <w:rPr>
          <w:rFonts w:ascii="Calibri" w:cs="Calibri" w:eastAsia="Calibri" w:hAnsi="Calibri"/>
          <w:color w:val="21292C"/>
          <w:sz w:val="21"/>
          <w:szCs w:val="21"/>
        </w:rPr>
        <w:t xml:space="preserve">Chaque Partie garde confidentielles les informations non publiques reçues de l’autre à l’occasion de la convention, pendant sa durée et deux (2) ans après son terme. Chaque Partie traite les données personnelles dont elle est responsable conformément au RGPD ; l’Apporteur ne transmet à ResaPermis que des coordonnées professionnelles de Prospects informés de la transmission.</w:t>
      </w:r>
    </w:p>
    <w:p>
      <w:pPr>
        <w:pStyle w:val="Heading2"/>
        <w:spacing w:after="120" w:before="260"/>
      </w:pPr>
      <w:r>
        <w:rPr>
          <w:rFonts w:ascii="Calibri" w:cs="Calibri" w:eastAsia="Calibri" w:hAnsi="Calibri"/>
          <w:b/>
          <w:bCs/>
          <w:color w:val="21292C"/>
          <w:sz w:val="24"/>
          <w:szCs w:val="24"/>
        </w:rPr>
        <w:t xml:space="preserve">Article 9 — Cession — droit applicable — litiges</w:t>
      </w:r>
    </w:p>
    <w:p>
      <w:pPr>
        <w:spacing w:after="140" w:line="276"/>
        <w:jc w:val="both"/>
      </w:pPr>
      <w:r>
        <w:rPr>
          <w:rFonts w:ascii="Calibri" w:cs="Calibri" w:eastAsia="Calibri" w:hAnsi="Calibri"/>
          <w:color w:val="21292C"/>
          <w:sz w:val="21"/>
          <w:szCs w:val="21"/>
        </w:rPr>
        <w:t xml:space="preserve">La convention est conclue intuitu personae et ne peut être cédée sans accord écrit préalable de ResaPermis. Elle est soumise au droit français. À défaut de résolution amiable dans les trente (30) jours d’une notification écrite, tout litige relève du tribunal des activités économiques de [ville], nonobstant pluralité de défendeurs ou appel en garantie.</w:t>
      </w:r>
    </w:p>
    <w:p>
      <w:pPr>
        <w:spacing w:after="140" w:before="320"/>
      </w:pPr>
      <w:r>
        <w:rPr>
          <w:rFonts w:ascii="Calibri" w:cs="Calibri" w:eastAsia="Calibri" w:hAnsi="Calibri"/>
          <w:b/>
          <w:bCs/>
          <w:color w:val="21292C"/>
          <w:sz w:val="21"/>
          <w:szCs w:val="21"/>
        </w:rPr>
        <w:t xml:space="preserve">Fait à [ville], le [date], en deux exemplaires originaux.</w:t>
      </w:r>
    </w:p>
    <w:p>
      <w:pPr>
        <w:spacing w:before="200"/>
      </w:pPr>
      <w:r>
        <w:rPr>
          <w:rFonts w:ascii="Calibri" w:cs="Calibri" w:eastAsia="Calibri" w:hAnsi="Calibri"/>
          <w:b/>
          <w:bCs/>
          <w:color w:val="21292C"/>
          <w:sz w:val="21"/>
          <w:szCs w:val="21"/>
        </w:rPr>
        <w:t xml:space="preserve">Pour ResaPermis</w:t>
      </w:r>
      <w:r>
        <w:rPr>
          <w:rFonts w:ascii="Calibri" w:cs="Calibri" w:eastAsia="Calibri" w:hAnsi="Calibri"/>
          <w:color w:val="21292C"/>
          <w:sz w:val="21"/>
          <w:szCs w:val="21"/>
        </w:rPr>
        <w:t xml:space="preserve">					</w:t>
      </w:r>
      <w:r>
        <w:rPr>
          <w:rFonts w:ascii="Calibri" w:cs="Calibri" w:eastAsia="Calibri" w:hAnsi="Calibri"/>
          <w:b/>
          <w:bCs/>
          <w:color w:val="21292C"/>
          <w:sz w:val="21"/>
          <w:szCs w:val="21"/>
        </w:rPr>
        <w:t xml:space="preserve">Pour l’Apporteur</w:t>
      </w:r>
    </w:p>
    <w:p>
      <w:pPr>
        <w:spacing w:after="400" w:before="60"/>
        <w:jc w:val="both"/>
      </w:pPr>
      <w:r>
        <w:rPr>
          <w:rFonts w:ascii="Calibri" w:cs="Calibri" w:eastAsia="Calibri" w:hAnsi="Calibri"/>
          <w:color w:val="21292C"/>
          <w:sz w:val="21"/>
          <w:szCs w:val="21"/>
        </w:rPr>
        <w:t xml:space="preserve">[Nom, qualité]					[Nom, qualité]</w:t>
      </w:r>
    </w:p>
    <w:p>
      <w:pPr>
        <w:spacing w:after="600"/>
        <w:jc w:val="both"/>
      </w:pPr>
      <w:r>
        <w:rPr>
          <w:rFonts w:ascii="Calibri" w:cs="Calibri" w:eastAsia="Calibri" w:hAnsi="Calibri"/>
          <w:color w:val="21292C"/>
          <w:sz w:val="21"/>
          <w:szCs w:val="21"/>
        </w:rPr>
        <w:t xml:space="preserve">Signature :						Signature :</w:t>
      </w:r>
    </w:p>
    <w:p>
      <w:pPr>
        <w:pStyle w:val="Heading2"/>
        <w:pageBreakBefore/>
        <w:spacing w:after="160"/>
      </w:pPr>
      <w:r>
        <w:rPr>
          <w:rFonts w:ascii="Calibri" w:cs="Calibri" w:eastAsia="Calibri" w:hAnsi="Calibri"/>
          <w:b/>
          <w:bCs/>
          <w:color w:val="21292C"/>
          <w:sz w:val="26"/>
          <w:szCs w:val="26"/>
        </w:rPr>
        <w:t xml:space="preserve">Annexe — Conditions particulières</w:t>
      </w:r>
    </w:p>
    <w:p>
      <w:pPr>
        <w:spacing w:after="140" w:line="276"/>
        <w:jc w:val="both"/>
      </w:pPr>
      <w:r>
        <w:rPr>
          <w:rFonts w:ascii="Calibri" w:cs="Calibri" w:eastAsia="Calibri" w:hAnsi="Calibri"/>
          <w:color w:val="21292C"/>
          <w:sz w:val="21"/>
          <w:szCs w:val="21"/>
        </w:rPr>
        <w:t xml:space="preserve">Code partenaire attribué : [CODE]</w:t>
      </w:r>
    </w:p>
    <w:p>
      <w:pPr>
        <w:spacing w:after="140" w:line="276"/>
        <w:jc w:val="both"/>
      </w:pPr>
      <w:r>
        <w:rPr>
          <w:rFonts w:ascii="Calibri" w:cs="Calibri" w:eastAsia="Calibri" w:hAnsi="Calibri"/>
          <w:color w:val="21292C"/>
          <w:sz w:val="21"/>
          <w:szCs w:val="21"/>
        </w:rPr>
        <w:t xml:space="preserve">Taux de commission : [20] % HT des mensualités encaissées.</w:t>
      </w:r>
    </w:p>
    <w:p>
      <w:pPr>
        <w:spacing w:after="140" w:line="276"/>
        <w:jc w:val="both"/>
      </w:pPr>
      <w:r>
        <w:rPr>
          <w:rFonts w:ascii="Calibri" w:cs="Calibri" w:eastAsia="Calibri" w:hAnsi="Calibri"/>
          <w:color w:val="21292C"/>
          <w:sz w:val="21"/>
          <w:szCs w:val="21"/>
        </w:rPr>
        <w:t xml:space="preserve">Durée commissionnée : [12] mensualités par Affaire apportée.</w:t>
      </w:r>
    </w:p>
    <w:p>
      <w:pPr>
        <w:spacing w:after="140" w:line="276"/>
        <w:jc w:val="both"/>
      </w:pPr>
      <w:r>
        <w:rPr>
          <w:rFonts w:ascii="Calibri" w:cs="Calibri" w:eastAsia="Calibri" w:hAnsi="Calibri"/>
          <w:color w:val="21292C"/>
          <w:sz w:val="21"/>
          <w:szCs w:val="21"/>
        </w:rPr>
        <w:t xml:space="preserve">Paliers de volume (le cas échéant) : [ex. 25 % HT à compter de 5 établissements clients actifs simultanément].</w:t>
      </w:r>
    </w:p>
    <w:p>
      <w:pPr>
        <w:spacing w:after="140" w:line="276"/>
        <w:jc w:val="both"/>
      </w:pPr>
      <w:r>
        <w:rPr>
          <w:rFonts w:ascii="Calibri" w:cs="Calibri" w:eastAsia="Calibri" w:hAnsi="Calibri"/>
          <w:color w:val="21292C"/>
          <w:sz w:val="21"/>
          <w:szCs w:val="21"/>
        </w:rPr>
        <w:t xml:space="preserve">Interlocuteur ResaPermis : [nom, courriel]. Interlocuteur Apporteur : [nom, courriel].</w:t>
      </w:r>
    </w:p>
    <w:p>
      <w:pPr>
        <w:spacing w:after="140" w:line="276"/>
        <w:jc w:val="both"/>
      </w:pPr>
      <w:r>
        <w:rPr>
          <w:rFonts w:ascii="Calibri" w:cs="Calibri" w:eastAsia="Calibri" w:hAnsi="Calibri"/>
          <w:color w:val="21292C"/>
          <w:sz w:val="21"/>
          <w:szCs w:val="21"/>
        </w:rPr>
        <w:t xml:space="preserve">Particularités (réseau, périmètre géographique, opérations conjointes) : [à compléter].</w:t>
      </w:r>
    </w:p>
    <w:p>
      <w:pPr>
        <w:pBdr>
          <w:top w:val="single" w:color="DAE3EA" w:sz="4" w:space="8"/>
        </w:pBdr>
        <w:spacing w:before="500"/>
      </w:pPr>
      <w:r>
        <w:rPr>
          <w:rFonts w:ascii="Calibri" w:cs="Calibri" w:eastAsia="Calibri" w:hAnsi="Calibri"/>
          <w:i/>
          <w:iCs/>
          <w:color w:val="5C6B75"/>
          <w:sz w:val="17"/>
          <w:szCs w:val="17"/>
        </w:rPr>
        <w:t xml:space="preserve">Modèle fourni à titre indicatif dans le cadre du programme partenaires ResaPermis. Il ne constitue pas un conseil juridique : faites-le relire et adapter par votre conseil avant signature.</w:t>
      </w:r>
    </w:p>
    <w:sectPr>
      <w:footerReference w:type="default" r:id="rId7"/>
      <w:pgSz w:w="11906" w:h="16838" w:orient="portrait"/>
      <w:pgMar w:top="1247" w:right="1247" w:bottom="1133" w:left="1247"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AE3EA" w:sz="4" w:space="6"/>
      </w:pBdr>
      <w:jc w:val="center"/>
    </w:pPr>
    <w:r>
      <w:rPr>
        <w:rFonts w:ascii="Calibri" w:cs="Calibri" w:eastAsia="Calibri" w:hAnsi="Calibri"/>
        <w:color w:val="5C6B75"/>
        <w:sz w:val="16"/>
        <w:szCs w:val="16"/>
      </w:rPr>
      <w:t xml:space="preserve">Convention d’apport d’affaires — Programme partenaires ResaPermis — page </w:t>
    </w:r>
    <w:r>
      <w:rPr>
        <w:rFonts w:ascii="Calibri" w:cs="Calibri" w:eastAsia="Calibri" w:hAnsi="Calibri"/>
        <w:color w:val="5C6B75"/>
        <w:sz w:val="16"/>
        <w:szCs w:val="16"/>
      </w:rPr>
      <w:fldChar w:fldCharType="begin"/>
      <w:instrText xml:space="preserve">PAGE</w:instrText>
      <w:fldChar w:fldCharType="separate"/>
      <w:fldChar w:fldCharType="end"/>
    </w:r>
    <w:r>
      <w:rPr>
        <w:rFonts w:ascii="Calibri" w:cs="Calibri" w:eastAsia="Calibri" w:hAnsi="Calibri"/>
        <w:color w:val="5C6B75"/>
        <w:sz w:val="16"/>
        <w:szCs w:val="16"/>
      </w:rPr>
      <w:t xml:space="preserve"> / </w:t>
    </w:r>
    <w:r>
      <w:rPr>
        <w:rFonts w:ascii="Calibri" w:cs="Calibri" w:eastAsia="Calibri" w:hAnsi="Calibri"/>
        <w:color w:val="5C6B75"/>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360" w:hanging="22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21292C"/>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2026-08-17T09:43:04.099Z</dcterms:created>
  <dcterms:modified xsi:type="dcterms:W3CDTF">2026-08-17T09:43:04.100Z</dcterms:modified>
</cp:coreProperties>
</file>

<file path=docProps/custom.xml><?xml version="1.0" encoding="utf-8"?>
<Properties xmlns="http://schemas.openxmlformats.org/officeDocument/2006/custom-properties" xmlns:vt="http://schemas.openxmlformats.org/officeDocument/2006/docPropsVTypes"/>
</file>